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color w:val="1f497d"/>
          <w:sz w:val="32"/>
          <w:szCs w:val="32"/>
          <w:rtl w:val="0"/>
        </w:rPr>
        <w:t xml:space="preserve">MINUTA EJECUTIVA DEL COMITÉ DE INVERSIONES Y ALM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i w:val="1"/>
          <w:iCs w:val="1"/>
          <w:color w:val="595959"/>
          <w:sz w:val="20"/>
          <w:szCs w:val="20"/>
          <w:rtl w:val="0"/>
        </w:rPr>
        <w:t xml:space="preserve">Transcripción de Evaluación de Sensibilidad de Margen Neto de Interés (NIM) - Q3 2026</w:t>
        <w:br w:type="textWrapping"/>
        <w:t xml:space="preserve">Fecha: 10 de Septiembre de 2026 | Anclado en OneNote ALM / Tesorería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color w:val="1f497d"/>
          <w:rtl w:val="0"/>
        </w:rPr>
        <w:t xml:space="preserve">1. Posicionamiento del Balance y Sensibilidad ante Tasa Referencial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En la reunión del Comité de Inversiones, el equipo de Tesorería presentó el análisis de sensibilidad del Margen Neto de Interés (NIM) anclado al libro de trabajo </w:t>
      </w:r>
      <w:r w:rsidDel="00000000" w:rsidR="00000000" w:rsidRPr="00000000">
        <w:rPr>
          <w:b w:val="1"/>
          <w:bCs w:val="1"/>
          <w:rtl w:val="0"/>
        </w:rPr>
        <w:t xml:space="preserve">ALM_Model_2026.xlsx</w:t>
      </w:r>
      <w:r w:rsidDel="00000000" w:rsidR="00000000" w:rsidRPr="00000000">
        <w:rPr>
          <w:rtl w:val="0"/>
        </w:rPr>
        <w:t xml:space="preserve">. Se evaluó el impacto directo de un recorte proyectado de </w:t>
      </w:r>
      <w:r w:rsidDel="00000000" w:rsidR="00000000" w:rsidRPr="00000000">
        <w:rPr>
          <w:b w:val="1"/>
          <w:bCs w:val="1"/>
          <w:rtl w:val="0"/>
        </w:rPr>
        <w:t xml:space="preserve">50 puntos básicos (-50 pb)</w:t>
      </w:r>
      <w:r w:rsidDel="00000000" w:rsidR="00000000" w:rsidRPr="00000000">
        <w:rPr>
          <w:rtl w:val="0"/>
        </w:rPr>
        <w:t xml:space="preserve"> en la tasa de interés referencial por parte del Banco Central.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Actualmente, el banco registra un </w:t>
      </w:r>
      <w:r w:rsidDel="00000000" w:rsidR="00000000" w:rsidRPr="00000000">
        <w:rPr>
          <w:b w:val="1"/>
          <w:bCs w:val="1"/>
          <w:rtl w:val="0"/>
        </w:rPr>
        <w:t xml:space="preserve">NIM base de 4.50% (450 pb)</w:t>
      </w:r>
      <w:r w:rsidDel="00000000" w:rsidR="00000000" w:rsidRPr="00000000">
        <w:rPr>
          <w:rtl w:val="0"/>
        </w:rPr>
        <w:t xml:space="preserve">. Sin embargo, debido al descalce de plazos (Gap de Duración) entre activos y pasivos, el repase de tasas no es simétrico. La cartera de activos a tasa variable ($4,500M USD) reajusta de forma inmediata perdiendo 50 pb de rendimiento, mientras que el costo de fondeo de los pasivos presenta rigideces de reajuste.</w:t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color w:val="1f497d"/>
          <w:rtl w:val="0"/>
        </w:rPr>
        <w:t xml:space="preserve">2. Evaluación de Escenarios de Sensibilidad de NIM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El comité formalizó tres escenarios oficiales para la planificación financiera: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Escenario Base (-15 pb de NIM):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Asume una compresión de pasivos de 35 pb (Beta de depósito promedio de 0.70). El rendimiento de los activos cae 50 pb y el costo de pasivos baja 35 pb, generando una contracción neta del NIM a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4.35% (435 pb)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lo que equivale a un impacto financiero directo de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-$18.5M USD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 el margen financiero anual.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Escenario Optimista (-5 pb de NIM):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Asume una alta flexibilidad en la reducción de tasas de depósitos comercial y mayorista, bajando el costo de pasivos en 45 pb. El NIM proyectado se sitúa en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4.45% (445 pb)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 un impacto controlado de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-$6.2M USD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Escenario Conservador (-30 pb de NIM):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Asume rigidez extrema en captaciones minoristas por competencia bancaria, reduciendo el costo de pasivos en solo 20 pb. Esto provoca una contracción severa del NIM a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4.20% (420 pb)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y una pérdida acumulada en margen de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-$37.0M USD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pStyle w:val="Heading1"/>
        <w:rPr/>
      </w:pPr>
      <w:r w:rsidDel="00000000" w:rsidR="00000000" w:rsidRPr="00000000">
        <w:rPr>
          <w:color w:val="1f497d"/>
          <w:rtl w:val="0"/>
        </w:rPr>
        <w:t xml:space="preserve">3. Acuerdos y Directrices del CFO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El CFO ratificó las siguientes reglas operativas: prohibido utilizar estimaciones externas no validadas en el modelo ALM; toda respuesta debe citar exactamente las variaciones en puntos básicos (pb) y respaldar la evaluación de sensibilidad con el cuadro tripartito de escenarios auditado.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