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color w:val="1f497d"/>
          <w:sz w:val="36"/>
          <w:szCs w:val="36"/>
          <w:rtl w:val="0"/>
        </w:rPr>
        <w:t xml:space="preserve">ACTA DE COMITÉ DE OPERACIONES BANCARIAS - Q3</w:t>
      </w:r>
      <w:r w:rsidDel="00000000" w:rsidR="00000000" w:rsidRPr="00000000">
        <w:rPr>
          <w:rtl w:val="0"/>
        </w:rPr>
      </w:r>
    </w:p>
    <w:p w:rsidR="00000000" w:rsidDel="00000000" w:rsidP="00000000" w:rsidRDefault="00000000" w:rsidRPr="00000000" w14:paraId="00000002">
      <w:pPr>
        <w:rPr/>
      </w:pPr>
      <w:r w:rsidDel="00000000" w:rsidR="00000000" w:rsidRPr="00000000">
        <w:rPr>
          <w:i w:val="1"/>
          <w:iCs w:val="1"/>
          <w:color w:val="595959"/>
          <w:sz w:val="20"/>
          <w:szCs w:val="20"/>
          <w:rtl w:val="0"/>
        </w:rPr>
        <w:t xml:space="preserve">Minuta de Sesión Ejecutiva | Análisis de Eficiencia Procesal y Cuellos de Botella en Crédito Hipotecario</w:t>
        <w:br w:type="textWrapping"/>
        <w:t xml:space="preserve">Fecha: 15 de Septiembre de 2026 | Sede: Sala de Consejo / OneNote Operaciones</w:t>
      </w:r>
      <w:r w:rsidDel="00000000" w:rsidR="00000000" w:rsidRPr="00000000">
        <w:rPr>
          <w:rtl w:val="0"/>
        </w:rPr>
      </w:r>
    </w:p>
    <w:p w:rsidR="00000000" w:rsidDel="00000000" w:rsidP="00000000" w:rsidRDefault="00000000" w:rsidRPr="00000000" w14:paraId="00000003">
      <w:pPr>
        <w:spacing w:after="120" w:lineRule="auto"/>
        <w:rPr/>
      </w:pPr>
      <w:r w:rsidDel="00000000" w:rsidR="00000000" w:rsidRPr="00000000">
        <w:rPr>
          <w:rtl w:val="0"/>
        </w:rPr>
      </w:r>
    </w:p>
    <w:p w:rsidR="00000000" w:rsidDel="00000000" w:rsidP="00000000" w:rsidRDefault="00000000" w:rsidRPr="00000000" w14:paraId="00000004">
      <w:pPr>
        <w:keepNext w:val="1"/>
        <w:spacing w:after="80" w:before="240" w:lineRule="auto"/>
        <w:rPr/>
      </w:pPr>
      <w:r w:rsidDel="00000000" w:rsidR="00000000" w:rsidRPr="00000000">
        <w:rPr>
          <w:b w:val="1"/>
          <w:bCs w:val="1"/>
          <w:color w:val="1f497d"/>
          <w:sz w:val="32"/>
          <w:szCs w:val="32"/>
          <w:rtl w:val="0"/>
        </w:rPr>
        <w:t xml:space="preserve">1. Resumen Ejecutivo y Diagnóstico del Time-to-Yes</w:t>
      </w:r>
      <w:r w:rsidDel="00000000" w:rsidR="00000000" w:rsidRPr="00000000">
        <w:rPr>
          <w:rtl w:val="0"/>
        </w:rPr>
      </w:r>
    </w:p>
    <w:p w:rsidR="00000000" w:rsidDel="00000000" w:rsidP="00000000" w:rsidRDefault="00000000" w:rsidRPr="00000000" w14:paraId="00000005">
      <w:pPr>
        <w:rPr/>
      </w:pPr>
      <w:r w:rsidDel="00000000" w:rsidR="00000000" w:rsidRPr="00000000">
        <w:rPr>
          <w:rFonts w:ascii="Calibri" w:cs="Calibri" w:eastAsia="Calibri" w:hAnsi="Calibri"/>
          <w:rtl w:val="0"/>
        </w:rPr>
        <w:t xml:space="preserve">En la sesión ordinaria del Comité de Operaciones encabezada por el COO, se auditó el desempeño procesal del producto de Crédito Hipotecario correspondiente al tercer trimestre (Q3). El diagnóstico revela un deterioro crítico en el indicador general de tiempo de respuesta al cliente (</w:t>
      </w:r>
      <w:r w:rsidDel="00000000" w:rsidR="00000000" w:rsidRPr="00000000">
        <w:rPr>
          <w:b w:val="1"/>
          <w:bCs w:val="1"/>
          <w:rtl w:val="0"/>
        </w:rPr>
        <w:t xml:space="preserve">Time-to-Yes</w:t>
      </w:r>
      <w:r w:rsidDel="00000000" w:rsidR="00000000" w:rsidRPr="00000000">
        <w:rPr>
          <w:rFonts w:ascii="Calibri" w:cs="Calibri" w:eastAsia="Calibri" w:hAnsi="Calibri"/>
          <w:rtl w:val="0"/>
        </w:rPr>
        <w:t xml:space="preserve">). Actualmente, el Time-to-Yes se ubica en </w:t>
      </w:r>
      <w:r w:rsidDel="00000000" w:rsidR="00000000" w:rsidRPr="00000000">
        <w:rPr>
          <w:b w:val="1"/>
          <w:bCs w:val="1"/>
          <w:rtl w:val="0"/>
        </w:rPr>
        <w:t xml:space="preserve">288 horas (12 días hábiles)</w:t>
      </w:r>
      <w:r w:rsidDel="00000000" w:rsidR="00000000" w:rsidRPr="00000000">
        <w:rPr>
          <w:rFonts w:ascii="Calibri" w:cs="Calibri" w:eastAsia="Calibri" w:hAnsi="Calibri"/>
          <w:rtl w:val="0"/>
        </w:rPr>
        <w:t xml:space="preserve"> frente a un SLA objetivo institucional de </w:t>
      </w:r>
      <w:r w:rsidDel="00000000" w:rsidR="00000000" w:rsidRPr="00000000">
        <w:rPr>
          <w:b w:val="1"/>
          <w:bCs w:val="1"/>
          <w:rtl w:val="0"/>
        </w:rPr>
        <w:t xml:space="preserve">120 horas (5 días hábiles)</w:t>
      </w:r>
      <w:r w:rsidDel="00000000" w:rsidR="00000000" w:rsidRPr="00000000">
        <w:rPr>
          <w:rFonts w:ascii="Calibri" w:cs="Calibri" w:eastAsia="Calibri" w:hAnsi="Calibri"/>
          <w:rtl w:val="0"/>
        </w:rPr>
        <w:t xml:space="preserve">, lo que representa una desviación total del </w:t>
      </w:r>
      <w:r w:rsidDel="00000000" w:rsidR="00000000" w:rsidRPr="00000000">
        <w:rPr>
          <w:b w:val="1"/>
          <w:bCs w:val="1"/>
          <w:rtl w:val="0"/>
        </w:rPr>
        <w:t xml:space="preserve">140% (+168 horas perdidas totales)</w:t>
      </w:r>
      <w:r w:rsidDel="00000000" w:rsidR="00000000" w:rsidRPr="00000000">
        <w:rPr>
          <w:rtl w:val="0"/>
        </w:rPr>
        <w:t xml:space="preserve"> por cada solicitud procesada.</w:t>
      </w:r>
    </w:p>
    <w:p w:rsidR="00000000" w:rsidDel="00000000" w:rsidP="00000000" w:rsidRDefault="00000000" w:rsidRPr="00000000" w14:paraId="00000006">
      <w:pPr>
        <w:keepNext w:val="1"/>
        <w:spacing w:after="80" w:before="240" w:lineRule="auto"/>
        <w:rPr/>
      </w:pPr>
      <w:r w:rsidDel="00000000" w:rsidR="00000000" w:rsidRPr="00000000">
        <w:rPr>
          <w:b w:val="1"/>
          <w:bCs w:val="1"/>
          <w:color w:val="1f497d"/>
          <w:sz w:val="32"/>
          <w:szCs w:val="32"/>
          <w:rtl w:val="0"/>
        </w:rPr>
        <w:t xml:space="preserve">2. Análisis Detallado de Cuellos de Botella: Mesa de Control y Dictamen Jurídico</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El análisis minucioso de la cadena de valor confirma que el 90% de la demora acumulada se concentra de forma exclusiva en dos fases críticas del flujo: Mesa de Control y Dictamen Jurídico.</w:t>
      </w:r>
    </w:p>
    <w:p w:rsidR="00000000" w:rsidDel="00000000" w:rsidP="00000000" w:rsidRDefault="00000000" w:rsidRPr="00000000" w14:paraId="00000008">
      <w:pPr>
        <w:keepNext w:val="1"/>
        <w:spacing w:after="80" w:before="240" w:lineRule="auto"/>
        <w:rPr/>
      </w:pPr>
      <w:r w:rsidDel="00000000" w:rsidR="00000000" w:rsidRPr="00000000">
        <w:rPr>
          <w:b w:val="1"/>
          <w:bCs w:val="1"/>
          <w:color w:val="2f5496"/>
          <w:sz w:val="26"/>
          <w:szCs w:val="26"/>
          <w:rtl w:val="0"/>
        </w:rPr>
        <w:t xml:space="preserve">2.1. Mesa de Control (Validación Documental)</w:t>
      </w:r>
      <w:r w:rsidDel="00000000" w:rsidR="00000000" w:rsidRPr="00000000">
        <w:rPr>
          <w:rtl w:val="0"/>
        </w:rPr>
      </w:r>
    </w:p>
    <w:p w:rsidR="00000000" w:rsidDel="00000000" w:rsidP="00000000" w:rsidRDefault="00000000" w:rsidRPr="00000000" w14:paraId="00000009">
      <w:pPr>
        <w:ind w:left="288" w:firstLine="0"/>
        <w:rPr/>
      </w:pPr>
      <w:r w:rsidDel="00000000" w:rsidR="00000000" w:rsidRPr="00000000">
        <w:rPr>
          <w:b w:val="1"/>
          <w:bCs w:val="1"/>
          <w:rtl w:val="0"/>
        </w:rPr>
        <w:t xml:space="preserve">• Tiempo Real vs. SLA: </w:t>
      </w:r>
      <w:r w:rsidDel="00000000" w:rsidR="00000000" w:rsidRPr="00000000">
        <w:rPr>
          <w:rtl w:val="0"/>
        </w:rPr>
        <w:t xml:space="preserve">La Mesa de Control registra un tiempo promedio real de </w:t>
      </w:r>
      <w:r w:rsidDel="00000000" w:rsidR="00000000" w:rsidRPr="00000000">
        <w:rPr>
          <w:b w:val="1"/>
          <w:bCs w:val="1"/>
          <w:rtl w:val="0"/>
        </w:rPr>
        <w:t xml:space="preserve">96 horas</w:t>
      </w:r>
      <w:r w:rsidDel="00000000" w:rsidR="00000000" w:rsidRPr="00000000">
        <w:rPr>
          <w:rtl w:val="0"/>
        </w:rPr>
        <w:t xml:space="preserve"> frente a un SLA parametrizado de </w:t>
      </w:r>
      <w:r w:rsidDel="00000000" w:rsidR="00000000" w:rsidRPr="00000000">
        <w:rPr>
          <w:b w:val="1"/>
          <w:bCs w:val="1"/>
          <w:rtl w:val="0"/>
        </w:rPr>
        <w:t xml:space="preserve">24 horas</w:t>
      </w:r>
      <w:r w:rsidDel="00000000" w:rsidR="00000000" w:rsidRPr="00000000">
        <w:rPr>
          <w:rtl w:val="0"/>
        </w:rPr>
        <w:t xml:space="preserve">, generando un impacto de </w:t>
      </w:r>
      <w:r w:rsidDel="00000000" w:rsidR="00000000" w:rsidRPr="00000000">
        <w:rPr>
          <w:b w:val="1"/>
          <w:bCs w:val="1"/>
          <w:rtl w:val="0"/>
        </w:rPr>
        <w:t xml:space="preserve">72 horas perdidas</w:t>
      </w:r>
      <w:r w:rsidDel="00000000" w:rsidR="00000000" w:rsidRPr="00000000">
        <w:rPr>
          <w:rtl w:val="0"/>
        </w:rPr>
        <w:t xml:space="preserve"> (+300% de exceso sobre la norma).</w:t>
      </w:r>
    </w:p>
    <w:p w:rsidR="00000000" w:rsidDel="00000000" w:rsidP="00000000" w:rsidRDefault="00000000" w:rsidRPr="00000000" w14:paraId="0000000A">
      <w:pPr>
        <w:ind w:left="288" w:firstLine="0"/>
        <w:rPr/>
      </w:pPr>
      <w:r w:rsidDel="00000000" w:rsidR="00000000" w:rsidRPr="00000000">
        <w:rPr>
          <w:b w:val="1"/>
          <w:bCs w:val="1"/>
          <w:rtl w:val="0"/>
        </w:rPr>
        <w:t xml:space="preserve">• Causa Raíz Identificada: </w:t>
      </w:r>
      <w:r w:rsidDel="00000000" w:rsidR="00000000" w:rsidRPr="00000000">
        <w:rPr>
          <w:rtl w:val="0"/>
        </w:rPr>
        <w:t xml:space="preserve">Existe una alta tasa de retrabajo documental del </w:t>
      </w:r>
      <w:r w:rsidDel="00000000" w:rsidR="00000000" w:rsidRPr="00000000">
        <w:rPr>
          <w:b w:val="1"/>
          <w:bCs w:val="1"/>
          <w:rtl w:val="0"/>
        </w:rPr>
        <w:t xml:space="preserve">42.0%</w:t>
      </w:r>
      <w:r w:rsidDel="00000000" w:rsidR="00000000" w:rsidRPr="00000000">
        <w:rPr>
          <w:rtl w:val="0"/>
        </w:rPr>
        <w:t xml:space="preserve"> debido a que los clientes envían expedientes con comprobantes de ingresos desactualizados o ilegibles. La verificación manual realizada por los 8 analistas actuales resulta insuficiente ante el volumen de 1,450 expedientes recibidos en Q3.</w:t>
      </w:r>
    </w:p>
    <w:p w:rsidR="00000000" w:rsidDel="00000000" w:rsidP="00000000" w:rsidRDefault="00000000" w:rsidRPr="00000000" w14:paraId="0000000B">
      <w:pPr>
        <w:keepNext w:val="1"/>
        <w:spacing w:after="80" w:before="240" w:lineRule="auto"/>
        <w:rPr/>
      </w:pPr>
      <w:r w:rsidDel="00000000" w:rsidR="00000000" w:rsidRPr="00000000">
        <w:rPr>
          <w:b w:val="1"/>
          <w:bCs w:val="1"/>
          <w:color w:val="2f5496"/>
          <w:sz w:val="26"/>
          <w:szCs w:val="26"/>
          <w:rtl w:val="0"/>
        </w:rPr>
        <w:t xml:space="preserve">2.2. Dictamen Jurídico (Evaluación Legal) - Fase con Mayor Retraso</w:t>
      </w:r>
      <w:r w:rsidDel="00000000" w:rsidR="00000000" w:rsidRPr="00000000">
        <w:rPr>
          <w:rtl w:val="0"/>
        </w:rPr>
      </w:r>
    </w:p>
    <w:p w:rsidR="00000000" w:rsidDel="00000000" w:rsidP="00000000" w:rsidRDefault="00000000" w:rsidRPr="00000000" w14:paraId="0000000C">
      <w:pPr>
        <w:ind w:left="288" w:firstLine="0"/>
        <w:rPr/>
      </w:pPr>
      <w:r w:rsidDel="00000000" w:rsidR="00000000" w:rsidRPr="00000000">
        <w:rPr>
          <w:b w:val="1"/>
          <w:bCs w:val="1"/>
          <w:rtl w:val="0"/>
        </w:rPr>
        <w:t xml:space="preserve">• Identificación de Retraso Crítico: </w:t>
      </w:r>
      <w:r w:rsidDel="00000000" w:rsidR="00000000" w:rsidRPr="00000000">
        <w:rPr>
          <w:rtl w:val="0"/>
        </w:rPr>
        <w:t xml:space="preserve">Dictamen Jurídico se consolida formalmente como la </w:t>
      </w:r>
      <w:r w:rsidDel="00000000" w:rsidR="00000000" w:rsidRPr="00000000">
        <w:rPr>
          <w:b w:val="1"/>
          <w:bCs w:val="1"/>
          <w:rtl w:val="0"/>
        </w:rPr>
        <w:t xml:space="preserve">FASE CON MAYOR RETRASO</w:t>
      </w:r>
      <w:r w:rsidDel="00000000" w:rsidR="00000000" w:rsidRPr="00000000">
        <w:rPr>
          <w:rtl w:val="0"/>
        </w:rPr>
        <w:t xml:space="preserve"> de todo el proceso de aprobación hipotecaria.</w:t>
      </w:r>
    </w:p>
    <w:p w:rsidR="00000000" w:rsidDel="00000000" w:rsidP="00000000" w:rsidRDefault="00000000" w:rsidRPr="00000000" w14:paraId="0000000D">
      <w:pPr>
        <w:ind w:left="288" w:firstLine="0"/>
        <w:rPr/>
      </w:pPr>
      <w:r w:rsidDel="00000000" w:rsidR="00000000" w:rsidRPr="00000000">
        <w:rPr>
          <w:b w:val="1"/>
          <w:bCs w:val="1"/>
          <w:rtl w:val="0"/>
        </w:rPr>
        <w:t xml:space="preserve">• Tiempo Real vs. SLA: </w:t>
      </w:r>
      <w:r w:rsidDel="00000000" w:rsidR="00000000" w:rsidRPr="00000000">
        <w:rPr>
          <w:rtl w:val="0"/>
        </w:rPr>
        <w:t xml:space="preserve">Registra un tiempo promedio de procesamiento de </w:t>
      </w:r>
      <w:r w:rsidDel="00000000" w:rsidR="00000000" w:rsidRPr="00000000">
        <w:rPr>
          <w:b w:val="1"/>
          <w:bCs w:val="1"/>
          <w:rtl w:val="0"/>
        </w:rPr>
        <w:t xml:space="preserve">144 horas (6 días hábiles)</w:t>
      </w:r>
      <w:r w:rsidDel="00000000" w:rsidR="00000000" w:rsidRPr="00000000">
        <w:rPr>
          <w:rtl w:val="0"/>
        </w:rPr>
        <w:t xml:space="preserve"> contra un SLA objetivo de </w:t>
      </w:r>
      <w:r w:rsidDel="00000000" w:rsidR="00000000" w:rsidRPr="00000000">
        <w:rPr>
          <w:b w:val="1"/>
          <w:bCs w:val="1"/>
          <w:rtl w:val="0"/>
        </w:rPr>
        <w:t xml:space="preserve">48 horas</w:t>
      </w:r>
      <w:r w:rsidDel="00000000" w:rsidR="00000000" w:rsidRPr="00000000">
        <w:rPr>
          <w:rtl w:val="0"/>
        </w:rPr>
        <w:t xml:space="preserve">, lo que acumula la mayor cantidad de </w:t>
      </w:r>
      <w:r w:rsidDel="00000000" w:rsidR="00000000" w:rsidRPr="00000000">
        <w:rPr>
          <w:b w:val="1"/>
          <w:bCs w:val="1"/>
          <w:rtl w:val="0"/>
        </w:rPr>
        <w:t xml:space="preserve">96 horas perdidas</w:t>
      </w:r>
      <w:r w:rsidDel="00000000" w:rsidR="00000000" w:rsidRPr="00000000">
        <w:rPr>
          <w:rtl w:val="0"/>
        </w:rPr>
        <w:t xml:space="preserve"> por solicitud (+200% de desviación).</w:t>
      </w:r>
    </w:p>
    <w:p w:rsidR="00000000" w:rsidDel="00000000" w:rsidP="00000000" w:rsidRDefault="00000000" w:rsidRPr="00000000" w14:paraId="0000000E">
      <w:pPr>
        <w:ind w:left="288" w:firstLine="0"/>
        <w:rPr/>
      </w:pPr>
      <w:r w:rsidDel="00000000" w:rsidR="00000000" w:rsidRPr="00000000">
        <w:rPr>
          <w:b w:val="1"/>
          <w:bCs w:val="1"/>
          <w:rtl w:val="0"/>
        </w:rPr>
        <w:t xml:space="preserve">• Causa Raíz Identificada: </w:t>
      </w:r>
      <w:r w:rsidDel="00000000" w:rsidR="00000000" w:rsidRPr="00000000">
        <w:rPr>
          <w:rtl w:val="0"/>
        </w:rPr>
        <w:t xml:space="preserve">Saturación severa por capacidad instalada. La plantilla cuenta con únicamente </w:t>
      </w:r>
      <w:r w:rsidDel="00000000" w:rsidR="00000000" w:rsidRPr="00000000">
        <w:rPr>
          <w:b w:val="1"/>
          <w:bCs w:val="1"/>
          <w:rtl w:val="0"/>
        </w:rPr>
        <w:t xml:space="preserve">4 abogados dictaminadores</w:t>
      </w:r>
      <w:r w:rsidDel="00000000" w:rsidR="00000000" w:rsidRPr="00000000">
        <w:rPr>
          <w:rtl w:val="0"/>
        </w:rPr>
        <w:t xml:space="preserve"> para evaluar 820 expedientes en el trimestre. Además, la falta de estandarización en las escrituras públicas enviadas por notarías externas obliga a realizar revisiones legales manuales y exhaustivas, acumulando un backlog pendiente de </w:t>
      </w:r>
      <w:r w:rsidDel="00000000" w:rsidR="00000000" w:rsidRPr="00000000">
        <w:rPr>
          <w:b w:val="1"/>
          <w:bCs w:val="1"/>
          <w:rtl w:val="0"/>
        </w:rPr>
        <w:t xml:space="preserve">410 expedientes en cola</w:t>
      </w:r>
      <w:r w:rsidDel="00000000" w:rsidR="00000000" w:rsidRPr="00000000">
        <w:rPr>
          <w:rtl w:val="0"/>
        </w:rPr>
        <w:t xml:space="preserve"> al cierre del trimestre.</w:t>
      </w:r>
    </w:p>
    <w:p w:rsidR="00000000" w:rsidDel="00000000" w:rsidP="00000000" w:rsidRDefault="00000000" w:rsidRPr="00000000" w14:paraId="0000000F">
      <w:pPr>
        <w:keepNext w:val="1"/>
        <w:spacing w:after="80" w:before="240" w:lineRule="auto"/>
        <w:rPr/>
      </w:pPr>
      <w:r w:rsidDel="00000000" w:rsidR="00000000" w:rsidRPr="00000000">
        <w:rPr>
          <w:b w:val="1"/>
          <w:bCs w:val="1"/>
          <w:color w:val="1f497d"/>
          <w:sz w:val="32"/>
          <w:szCs w:val="32"/>
          <w:rtl w:val="0"/>
        </w:rPr>
        <w:t xml:space="preserve">3. Tabla Comparativa de Auditoría Operativa (Anexo OneNote)</w:t>
      </w:r>
      <w:r w:rsidDel="00000000" w:rsidR="00000000" w:rsidRPr="00000000">
        <w:rPr>
          <w:rtl w:val="0"/>
        </w:rPr>
      </w:r>
    </w:p>
    <w:tbl>
      <w:tblPr>
        <w:tblStyle w:val="Table1"/>
        <w:tblW w:w="9360.0" w:type="dxa"/>
        <w:jc w:val="center"/>
        <w:tblLayout w:type="fixed"/>
        <w:tblLook w:val="04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1f497d" w:val="clear"/>
          </w:tcPr>
          <w:p w:rsidR="00000000" w:rsidDel="00000000" w:rsidP="00000000" w:rsidRDefault="00000000" w:rsidRPr="00000000" w14:paraId="00000010">
            <w:pPr>
              <w:jc w:val="center"/>
              <w:rPr/>
            </w:pPr>
            <w:r w:rsidDel="00000000" w:rsidR="00000000" w:rsidRPr="00000000">
              <w:rPr>
                <w:b w:val="1"/>
                <w:bCs w:val="1"/>
                <w:color w:val="ffffff"/>
                <w:rtl w:val="0"/>
              </w:rPr>
              <w:t xml:space="preserve">Unidad / Fase</w:t>
            </w:r>
            <w:r w:rsidDel="00000000" w:rsidR="00000000" w:rsidRPr="00000000">
              <w:rPr>
                <w:rtl w:val="0"/>
              </w:rPr>
            </w:r>
          </w:p>
        </w:tc>
        <w:tc>
          <w:tcPr>
            <w:shd w:fill="1f497d" w:val="clear"/>
          </w:tcPr>
          <w:p w:rsidR="00000000" w:rsidDel="00000000" w:rsidP="00000000" w:rsidRDefault="00000000" w:rsidRPr="00000000" w14:paraId="00000011">
            <w:pPr>
              <w:jc w:val="center"/>
              <w:rPr/>
            </w:pPr>
            <w:r w:rsidDel="00000000" w:rsidR="00000000" w:rsidRPr="00000000">
              <w:rPr>
                <w:b w:val="1"/>
                <w:bCs w:val="1"/>
                <w:color w:val="ffffff"/>
                <w:rtl w:val="0"/>
              </w:rPr>
              <w:t xml:space="preserve">SLA Objetivo</w:t>
            </w:r>
            <w:r w:rsidDel="00000000" w:rsidR="00000000" w:rsidRPr="00000000">
              <w:rPr>
                <w:rtl w:val="0"/>
              </w:rPr>
            </w:r>
          </w:p>
        </w:tc>
        <w:tc>
          <w:tcPr>
            <w:shd w:fill="1f497d" w:val="clear"/>
          </w:tcPr>
          <w:p w:rsidR="00000000" w:rsidDel="00000000" w:rsidP="00000000" w:rsidRDefault="00000000" w:rsidRPr="00000000" w14:paraId="00000012">
            <w:pPr>
              <w:jc w:val="center"/>
              <w:rPr/>
            </w:pPr>
            <w:r w:rsidDel="00000000" w:rsidR="00000000" w:rsidRPr="00000000">
              <w:rPr>
                <w:b w:val="1"/>
                <w:bCs w:val="1"/>
                <w:color w:val="ffffff"/>
                <w:rtl w:val="0"/>
              </w:rPr>
              <w:t xml:space="preserve">Tiempo Real</w:t>
            </w:r>
            <w:r w:rsidDel="00000000" w:rsidR="00000000" w:rsidRPr="00000000">
              <w:rPr>
                <w:rtl w:val="0"/>
              </w:rPr>
            </w:r>
          </w:p>
        </w:tc>
        <w:tc>
          <w:tcPr>
            <w:shd w:fill="1f497d" w:val="clear"/>
          </w:tcPr>
          <w:p w:rsidR="00000000" w:rsidDel="00000000" w:rsidP="00000000" w:rsidRDefault="00000000" w:rsidRPr="00000000" w14:paraId="00000013">
            <w:pPr>
              <w:jc w:val="center"/>
              <w:rPr/>
            </w:pPr>
            <w:r w:rsidDel="00000000" w:rsidR="00000000" w:rsidRPr="00000000">
              <w:rPr>
                <w:b w:val="1"/>
                <w:bCs w:val="1"/>
                <w:color w:val="ffffff"/>
                <w:rtl w:val="0"/>
              </w:rPr>
              <w:t xml:space="preserve">Horas Perdidas</w:t>
            </w:r>
            <w:r w:rsidDel="00000000" w:rsidR="00000000" w:rsidRPr="00000000">
              <w:rPr>
                <w:rtl w:val="0"/>
              </w:rPr>
            </w:r>
          </w:p>
        </w:tc>
        <w:tc>
          <w:tcPr>
            <w:shd w:fill="1f497d" w:val="clear"/>
          </w:tcPr>
          <w:p w:rsidR="00000000" w:rsidDel="00000000" w:rsidP="00000000" w:rsidRDefault="00000000" w:rsidRPr="00000000" w14:paraId="00000014">
            <w:pPr>
              <w:jc w:val="center"/>
              <w:rPr/>
            </w:pPr>
            <w:r w:rsidDel="00000000" w:rsidR="00000000" w:rsidRPr="00000000">
              <w:rPr>
                <w:b w:val="1"/>
                <w:bCs w:val="1"/>
                <w:color w:val="ffffff"/>
                <w:rtl w:val="0"/>
              </w:rPr>
              <w:t xml:space="preserve">Clasificación de Retraso</w:t>
            </w:r>
            <w:r w:rsidDel="00000000" w:rsidR="00000000" w:rsidRPr="00000000">
              <w:rPr>
                <w:rtl w:val="0"/>
              </w:rPr>
            </w:r>
          </w:p>
        </w:tc>
      </w:tr>
      <w:tr>
        <w:trPr>
          <w:cantSplit w:val="0"/>
          <w:tblHeader w:val="0"/>
        </w:trPr>
        <w:tc>
          <w:tcPr/>
          <w:p w:rsidR="00000000" w:rsidDel="00000000" w:rsidP="00000000" w:rsidRDefault="00000000" w:rsidRPr="00000000" w14:paraId="00000015">
            <w:pPr>
              <w:jc w:val="left"/>
              <w:rPr/>
            </w:pPr>
            <w:r w:rsidDel="00000000" w:rsidR="00000000" w:rsidRPr="00000000">
              <w:rPr>
                <w:rtl w:val="0"/>
              </w:rPr>
              <w:t xml:space="preserve">Mesa de Control</w:t>
            </w:r>
          </w:p>
        </w:tc>
        <w:tc>
          <w:tcPr/>
          <w:p w:rsidR="00000000" w:rsidDel="00000000" w:rsidP="00000000" w:rsidRDefault="00000000" w:rsidRPr="00000000" w14:paraId="00000016">
            <w:pPr>
              <w:jc w:val="center"/>
              <w:rPr/>
            </w:pPr>
            <w:r w:rsidDel="00000000" w:rsidR="00000000" w:rsidRPr="00000000">
              <w:rPr>
                <w:rtl w:val="0"/>
              </w:rPr>
              <w:t xml:space="preserve">24 hrs</w:t>
            </w:r>
          </w:p>
        </w:tc>
        <w:tc>
          <w:tcPr/>
          <w:p w:rsidR="00000000" w:rsidDel="00000000" w:rsidP="00000000" w:rsidRDefault="00000000" w:rsidRPr="00000000" w14:paraId="00000017">
            <w:pPr>
              <w:jc w:val="center"/>
              <w:rPr/>
            </w:pPr>
            <w:r w:rsidDel="00000000" w:rsidR="00000000" w:rsidRPr="00000000">
              <w:rPr>
                <w:rtl w:val="0"/>
              </w:rPr>
              <w:t xml:space="preserve">96 hrs</w:t>
            </w:r>
          </w:p>
        </w:tc>
        <w:tc>
          <w:tcPr/>
          <w:p w:rsidR="00000000" w:rsidDel="00000000" w:rsidP="00000000" w:rsidRDefault="00000000" w:rsidRPr="00000000" w14:paraId="00000018">
            <w:pPr>
              <w:jc w:val="center"/>
              <w:rPr/>
            </w:pPr>
            <w:r w:rsidDel="00000000" w:rsidR="00000000" w:rsidRPr="00000000">
              <w:rPr>
                <w:rtl w:val="0"/>
              </w:rPr>
              <w:t xml:space="preserve">72 hrs perdidas</w:t>
            </w:r>
          </w:p>
        </w:tc>
        <w:tc>
          <w:tcPr/>
          <w:p w:rsidR="00000000" w:rsidDel="00000000" w:rsidP="00000000" w:rsidRDefault="00000000" w:rsidRPr="00000000" w14:paraId="00000019">
            <w:pPr>
              <w:jc w:val="center"/>
              <w:rPr/>
            </w:pPr>
            <w:r w:rsidDel="00000000" w:rsidR="00000000" w:rsidRPr="00000000">
              <w:rPr>
                <w:rtl w:val="0"/>
              </w:rPr>
              <w:t xml:space="preserve">Cuello de Botella Operativo</w:t>
            </w:r>
          </w:p>
        </w:tc>
      </w:tr>
      <w:tr>
        <w:trPr>
          <w:cantSplit w:val="0"/>
          <w:tblHeader w:val="0"/>
        </w:trPr>
        <w:tc>
          <w:tcPr/>
          <w:p w:rsidR="00000000" w:rsidDel="00000000" w:rsidP="00000000" w:rsidRDefault="00000000" w:rsidRPr="00000000" w14:paraId="0000001A">
            <w:pPr>
              <w:jc w:val="left"/>
              <w:rPr/>
            </w:pPr>
            <w:r w:rsidDel="00000000" w:rsidR="00000000" w:rsidRPr="00000000">
              <w:rPr>
                <w:rtl w:val="0"/>
              </w:rPr>
              <w:t xml:space="preserve">Dictamen Jurídico</w:t>
            </w:r>
          </w:p>
        </w:tc>
        <w:tc>
          <w:tcPr/>
          <w:p w:rsidR="00000000" w:rsidDel="00000000" w:rsidP="00000000" w:rsidRDefault="00000000" w:rsidRPr="00000000" w14:paraId="0000001B">
            <w:pPr>
              <w:jc w:val="center"/>
              <w:rPr/>
            </w:pPr>
            <w:r w:rsidDel="00000000" w:rsidR="00000000" w:rsidRPr="00000000">
              <w:rPr>
                <w:rtl w:val="0"/>
              </w:rPr>
              <w:t xml:space="preserve">48 hrs</w:t>
            </w:r>
          </w:p>
        </w:tc>
        <w:tc>
          <w:tcPr/>
          <w:p w:rsidR="00000000" w:rsidDel="00000000" w:rsidP="00000000" w:rsidRDefault="00000000" w:rsidRPr="00000000" w14:paraId="0000001C">
            <w:pPr>
              <w:jc w:val="center"/>
              <w:rPr/>
            </w:pPr>
            <w:r w:rsidDel="00000000" w:rsidR="00000000" w:rsidRPr="00000000">
              <w:rPr>
                <w:rtl w:val="0"/>
              </w:rPr>
              <w:t xml:space="preserve">144 hrs</w:t>
            </w:r>
          </w:p>
        </w:tc>
        <w:tc>
          <w:tcPr/>
          <w:p w:rsidR="00000000" w:rsidDel="00000000" w:rsidP="00000000" w:rsidRDefault="00000000" w:rsidRPr="00000000" w14:paraId="0000001D">
            <w:pPr>
              <w:jc w:val="center"/>
              <w:rPr/>
            </w:pPr>
            <w:r w:rsidDel="00000000" w:rsidR="00000000" w:rsidRPr="00000000">
              <w:rPr>
                <w:rtl w:val="0"/>
              </w:rPr>
              <w:t xml:space="preserve">96 hrs perdidas</w:t>
            </w:r>
          </w:p>
        </w:tc>
        <w:tc>
          <w:tcPr/>
          <w:p w:rsidR="00000000" w:rsidDel="00000000" w:rsidP="00000000" w:rsidRDefault="00000000" w:rsidRPr="00000000" w14:paraId="0000001E">
            <w:pPr>
              <w:jc w:val="center"/>
              <w:rPr/>
            </w:pPr>
            <w:r w:rsidDel="00000000" w:rsidR="00000000" w:rsidRPr="00000000">
              <w:rPr>
                <w:rtl w:val="0"/>
              </w:rPr>
              <w:t xml:space="preserve">FASE CON MAYOR RETRASO</w:t>
            </w:r>
          </w:p>
        </w:tc>
      </w:tr>
      <w:tr>
        <w:trPr>
          <w:cantSplit w:val="0"/>
          <w:tblHeader w:val="0"/>
        </w:trPr>
        <w:tc>
          <w:tcPr>
            <w:shd w:fill="dce6f1" w:val="clear"/>
          </w:tcPr>
          <w:p w:rsidR="00000000" w:rsidDel="00000000" w:rsidP="00000000" w:rsidRDefault="00000000" w:rsidRPr="00000000" w14:paraId="0000001F">
            <w:pPr>
              <w:jc w:val="left"/>
              <w:rPr/>
            </w:pPr>
            <w:r w:rsidDel="00000000" w:rsidR="00000000" w:rsidRPr="00000000">
              <w:rPr>
                <w:b w:val="1"/>
                <w:bCs w:val="1"/>
                <w:rtl w:val="0"/>
              </w:rPr>
              <w:t xml:space="preserve">TIME-TO-YES TOTAL</w:t>
            </w:r>
            <w:r w:rsidDel="00000000" w:rsidR="00000000" w:rsidRPr="00000000">
              <w:rPr>
                <w:rtl w:val="0"/>
              </w:rPr>
            </w:r>
          </w:p>
        </w:tc>
        <w:tc>
          <w:tcPr>
            <w:shd w:fill="dce6f1" w:val="clear"/>
          </w:tcPr>
          <w:p w:rsidR="00000000" w:rsidDel="00000000" w:rsidP="00000000" w:rsidRDefault="00000000" w:rsidRPr="00000000" w14:paraId="00000020">
            <w:pPr>
              <w:jc w:val="center"/>
              <w:rPr/>
            </w:pPr>
            <w:r w:rsidDel="00000000" w:rsidR="00000000" w:rsidRPr="00000000">
              <w:rPr>
                <w:b w:val="1"/>
                <w:bCs w:val="1"/>
                <w:rtl w:val="0"/>
              </w:rPr>
              <w:t xml:space="preserve">120 hrs</w:t>
            </w:r>
            <w:r w:rsidDel="00000000" w:rsidR="00000000" w:rsidRPr="00000000">
              <w:rPr>
                <w:rtl w:val="0"/>
              </w:rPr>
            </w:r>
          </w:p>
        </w:tc>
        <w:tc>
          <w:tcPr>
            <w:shd w:fill="dce6f1" w:val="clear"/>
          </w:tcPr>
          <w:p w:rsidR="00000000" w:rsidDel="00000000" w:rsidP="00000000" w:rsidRDefault="00000000" w:rsidRPr="00000000" w14:paraId="00000021">
            <w:pPr>
              <w:jc w:val="center"/>
              <w:rPr/>
            </w:pPr>
            <w:r w:rsidDel="00000000" w:rsidR="00000000" w:rsidRPr="00000000">
              <w:rPr>
                <w:b w:val="1"/>
                <w:bCs w:val="1"/>
                <w:rtl w:val="0"/>
              </w:rPr>
              <w:t xml:space="preserve">288 hrs</w:t>
            </w:r>
            <w:r w:rsidDel="00000000" w:rsidR="00000000" w:rsidRPr="00000000">
              <w:rPr>
                <w:rtl w:val="0"/>
              </w:rPr>
            </w:r>
          </w:p>
        </w:tc>
        <w:tc>
          <w:tcPr>
            <w:shd w:fill="dce6f1" w:val="clear"/>
          </w:tcPr>
          <w:p w:rsidR="00000000" w:rsidDel="00000000" w:rsidP="00000000" w:rsidRDefault="00000000" w:rsidRPr="00000000" w14:paraId="00000022">
            <w:pPr>
              <w:jc w:val="center"/>
              <w:rPr/>
            </w:pPr>
            <w:r w:rsidDel="00000000" w:rsidR="00000000" w:rsidRPr="00000000">
              <w:rPr>
                <w:b w:val="1"/>
                <w:bCs w:val="1"/>
                <w:rtl w:val="0"/>
              </w:rPr>
              <w:t xml:space="preserve">168 hrs perdidas</w:t>
            </w:r>
            <w:r w:rsidDel="00000000" w:rsidR="00000000" w:rsidRPr="00000000">
              <w:rPr>
                <w:rtl w:val="0"/>
              </w:rPr>
            </w:r>
          </w:p>
        </w:tc>
        <w:tc>
          <w:tcPr>
            <w:shd w:fill="dce6f1" w:val="clear"/>
          </w:tcPr>
          <w:p w:rsidR="00000000" w:rsidDel="00000000" w:rsidP="00000000" w:rsidRDefault="00000000" w:rsidRPr="00000000" w14:paraId="00000023">
            <w:pPr>
              <w:jc w:val="center"/>
              <w:rPr/>
            </w:pPr>
            <w:r w:rsidDel="00000000" w:rsidR="00000000" w:rsidRPr="00000000">
              <w:rPr>
                <w:b w:val="1"/>
                <w:bCs w:val="1"/>
                <w:rtl w:val="0"/>
              </w:rPr>
              <w:t xml:space="preserve">Desviación Global del 140%</w:t>
            </w:r>
            <w:r w:rsidDel="00000000" w:rsidR="00000000" w:rsidRPr="00000000">
              <w:rPr>
                <w:rtl w:val="0"/>
              </w:rPr>
            </w:r>
          </w:p>
        </w:tc>
      </w:tr>
    </w:tbl>
    <w:p w:rsidR="00000000" w:rsidDel="00000000" w:rsidP="00000000" w:rsidRDefault="00000000" w:rsidRPr="00000000" w14:paraId="00000024">
      <w:pPr>
        <w:keepNext w:val="1"/>
        <w:spacing w:after="80" w:before="240" w:lineRule="auto"/>
        <w:rPr/>
      </w:pPr>
      <w:r w:rsidDel="00000000" w:rsidR="00000000" w:rsidRPr="00000000">
        <w:rPr>
          <w:b w:val="1"/>
          <w:bCs w:val="1"/>
          <w:color w:val="1f497d"/>
          <w:sz w:val="32"/>
          <w:szCs w:val="32"/>
          <w:rtl w:val="0"/>
        </w:rPr>
        <w:t xml:space="preserve">4. Resoluciones y Acuerdos del Comité</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1. Implementar motor de validación OCR y automatización documental en Mesa de Control para reducir el tiempo de 96h a 24h.</w:t>
        <w:br w:type="textWrapping"/>
        <w:t xml:space="preserve">2. Aprobar la contratación inmediata de 3 abogados dictaminadores adicionales para desahogar el backlog de 410 expedientes en Dictamen Jurídico y recortar las 96 horas perdidas.</w:t>
        <w:br w:type="textWrapping"/>
        <w:t xml:space="preserve">3. Fijar como meta para Q4 la restitución del Time-to-Yes a las 120 horas autorizadas por el Consejo.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