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color w:val="2f5496"/>
          <w:sz w:val="36"/>
          <w:szCs w:val="36"/>
          <w:rtl w:val="0"/>
        </w:rPr>
        <w:t xml:space="preserve">TRANSCRIPCIÓN OFICIAL: COMITÉ DE TESORERÍA E INVERSIONES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i w:val="1"/>
          <w:iCs w:val="1"/>
          <w:color w:val="595959"/>
          <w:rtl w:val="0"/>
        </w:rPr>
        <w:t xml:space="preserve">Banco Nacional de Crédito | Estrategia de Cobertura y Sensibilidad de Tasas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Layout w:type="fixed"/>
        <w:tblLook w:val="04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Fecha y Sesión: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05 de Septiembre de 2026 | Sesión Ordinaria Q3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Preside: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Chief Financial Officer (CFO)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Participantes: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Head of Treasury, VP ALM &amp; Riesgo Financiero, Gerente de Portafolio de Inversión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Tema Principal: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Estrategia de Cobertura de Cartera Fija y Proyección del Margen Neto de Interés (NIM)</w:t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rPr/>
      </w:pPr>
      <w:r w:rsidDel="00000000" w:rsidR="00000000" w:rsidRPr="00000000">
        <w:rPr>
          <w:rtl w:val="0"/>
        </w:rPr>
        <w:t xml:space="preserve">1. Resumen de Discusión y Postura de Tesorería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color w:val="333333"/>
          <w:rtl w:val="0"/>
        </w:rPr>
        <w:t xml:space="preserve">El CFO abrió la sesión destacando la alta volatilidad esperada en las tasas de interés de referencia para el cierre de año. En el modelo ALM actual, una bajada de </w:t>
      </w:r>
      <w:r w:rsidDel="00000000" w:rsidR="00000000" w:rsidRPr="00000000">
        <w:rPr>
          <w:b w:val="1"/>
          <w:bCs w:val="1"/>
          <w:rtl w:val="0"/>
        </w:rPr>
        <w:t xml:space="preserve">50 puntos básicos (pb)</w:t>
      </w:r>
      <w:r w:rsidDel="00000000" w:rsidR="00000000" w:rsidRPr="00000000">
        <w:rPr>
          <w:rtl w:val="0"/>
        </w:rPr>
        <w:t xml:space="preserve"> genera una contracción de 14.5 USD M en el ingreso financiero debido a la asimetría de repactación entre la cartera de crédito variable y los pasivos con costo.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color w:val="333333"/>
          <w:rtl w:val="0"/>
        </w:rPr>
        <w:t xml:space="preserve">El Head of Treasury presentó la propuesta para rebalancear el portafolio de inversión mediante swaps de tasa de interés (IRS) pagador flotante / receptor fijo por un valor nocional de </w:t>
      </w:r>
      <w:r w:rsidDel="00000000" w:rsidR="00000000" w:rsidRPr="00000000">
        <w:rPr>
          <w:b w:val="1"/>
          <w:bCs w:val="1"/>
          <w:rtl w:val="0"/>
        </w:rPr>
        <w:t xml:space="preserve">USD 1,200 M</w:t>
      </w:r>
      <w:r w:rsidDel="00000000" w:rsidR="00000000" w:rsidRPr="00000000">
        <w:rPr>
          <w:rtl w:val="0"/>
        </w:rPr>
        <w:t xml:space="preserve"> con vencimiento a 3 años, para inmunizar el margen neto de interés.</w:t>
      </w:r>
    </w:p>
    <w:p w:rsidR="00000000" w:rsidDel="00000000" w:rsidP="00000000" w:rsidRDefault="00000000" w:rsidRPr="00000000" w14:paraId="00000010">
      <w:pPr>
        <w:pStyle w:val="Heading2"/>
        <w:rPr/>
      </w:pPr>
      <w:r w:rsidDel="00000000" w:rsidR="00000000" w:rsidRPr="00000000">
        <w:rPr>
          <w:rtl w:val="0"/>
        </w:rPr>
        <w:t xml:space="preserve">2. Acuerdos de Cobertura e Inversión</w:t>
      </w:r>
    </w:p>
    <w:tbl>
      <w:tblPr>
        <w:tblStyle w:val="Table2"/>
        <w:tblW w:w="9360.0" w:type="dxa"/>
        <w:jc w:val="center"/>
        <w:tblLayout w:type="fixed"/>
        <w:tblLook w:val="04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Instrumento / Estrategia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Monto Nocional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Objetivo de Inmunización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9f9" w:val="clea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Interest Rate Swaps (IRS) Fijo/Flotante</w:t>
            </w:r>
          </w:p>
        </w:tc>
        <w:tc>
          <w:tcPr>
            <w:shd w:fill="f9f9f9" w:val="clea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USD 1,200 M</w:t>
            </w:r>
          </w:p>
        </w:tc>
        <w:tc>
          <w:tcPr>
            <w:shd w:fill="f9f9f9" w:val="clea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Proteger el NIM contra una baja de 50 pb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Incremento en Bonos Soberanos Tasa Fija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USD 400 M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Bloquear rendimientos del 8.2% a 5 años</w:t>
            </w:r>
          </w:p>
        </w:tc>
      </w:tr>
      <w:tr>
        <w:trPr>
          <w:cantSplit w:val="0"/>
          <w:tblHeader w:val="0"/>
        </w:trPr>
        <w:tc>
          <w:tcPr>
            <w:shd w:fill="f9f9f9" w:val="clea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Reestructuración de Pagarés Bancarios</w:t>
            </w:r>
          </w:p>
        </w:tc>
        <w:tc>
          <w:tcPr>
            <w:shd w:fill="f9f9f9" w:val="clea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USD 600 M</w:t>
            </w:r>
          </w:p>
        </w:tc>
        <w:tc>
          <w:tcPr>
            <w:shd w:fill="f9f9f9" w:val="clea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Extender vida media de captación de 90 a 180 días</w:t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i w:val="1"/>
          <w:iCs w:val="1"/>
          <w:rtl w:val="0"/>
        </w:rPr>
        <w:t xml:space="preserve">Aprobado por unanimidad por el Comité de Tesorería e Inversiones.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333333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1f4e79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