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color w:val="2f5496"/>
          <w:sz w:val="40"/>
          <w:szCs w:val="40"/>
          <w:rtl w:val="0"/>
        </w:rPr>
        <w:t xml:space="preserve">ACTA DE REUNIÓN: COMITÉ EJECUTIVO DE OPERACIONES Q3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i w:val="1"/>
          <w:iCs w:val="1"/>
          <w:color w:val="595959"/>
          <w:rtl w:val="0"/>
        </w:rPr>
        <w:t xml:space="preserve">Banco Nacional de Crédito | Vicepresidencia de Operaciones Hipotecarias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y Hora: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10 de Septiembre de 2026 | 10:00 - 11:30 hrs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Lugar / Modo: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Sala de Consejo Executive A / Teams Enterprise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Preside: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Chief Operating Officer (COO)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Asistentes: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VP de Riesgos, Dir. Jurídico Hipotecario, Dir. de Tecnología, Gerente Mesa de Control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rPr/>
      </w:pPr>
      <w:r w:rsidDel="00000000" w:rsidR="00000000" w:rsidRPr="00000000">
        <w:rPr>
          <w:rtl w:val="0"/>
        </w:rPr>
        <w:t xml:space="preserve">1. Diagnóstico Operativo y Cuellos de Botella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color w:val="333333"/>
          <w:rtl w:val="0"/>
        </w:rPr>
        <w:t xml:space="preserve">El Comité de Operaciones revisó los indicadores de eficiencia del crédito hipotecario correspondientes al tercer trimestre. El tiempo total promedio desde la recepción de la solicitud hasta la firma de escrituras (*Time-to-Yes*) se ubicó en </w:t>
      </w:r>
      <w:r w:rsidDel="00000000" w:rsidR="00000000" w:rsidRPr="00000000">
        <w:rPr>
          <w:b w:val="1"/>
          <w:bCs w:val="1"/>
          <w:rtl w:val="0"/>
        </w:rPr>
        <w:t xml:space="preserve">27.5 días hábiles</w:t>
      </w:r>
      <w:r w:rsidDel="00000000" w:rsidR="00000000" w:rsidRPr="00000000">
        <w:rPr>
          <w:rtl w:val="0"/>
        </w:rPr>
        <w:t xml:space="preserve">, sobrepasando el SLA meta de 14.0 días establecidos en la estrategia anual.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color w:val="333333"/>
          <w:rtl w:val="0"/>
        </w:rPr>
        <w:t xml:space="preserve">Se identificó de manera unánime que la </w:t>
      </w:r>
      <w:r w:rsidDel="00000000" w:rsidR="00000000" w:rsidRPr="00000000">
        <w:rPr>
          <w:b w:val="1"/>
          <w:bCs w:val="1"/>
          <w:rtl w:val="0"/>
        </w:rPr>
        <w:t xml:space="preserve">Mesa de Control y Dictamen Jurídico</w:t>
      </w:r>
      <w:r w:rsidDel="00000000" w:rsidR="00000000" w:rsidRPr="00000000">
        <w:rPr>
          <w:rtl w:val="0"/>
        </w:rPr>
        <w:t xml:space="preserve"> representa el principal cuello de botella operativo, registrando un tiempo promedio de respuesta de 11.5 días hábiles. Este retraso se debe principalmente a la revisión manual de escrituras anteriores, inconsistencias en certificados de libertad de gravamen y la falta de integración directa con los registros públicos de la propiedad.</w:t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2. Acuerdos y Plan de Acción</w:t>
      </w:r>
    </w:p>
    <w:tbl>
      <w:tblPr>
        <w:tblStyle w:val="Table2"/>
        <w:tblW w:w="9360.0" w:type="dxa"/>
        <w:jc w:val="center"/>
        <w:tblLayout w:type="fixed"/>
        <w:tblLook w:val="04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Iniciativa / Acuerdo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Fecha Compromiso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Impacto Esperado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9f9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Implementar OCR e Inteligencia Artificial para validación automática de expedientes jurídicos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Dir. Tecnología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30/Oct/2026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Reducir dictamen de 11.5 a 3.0 días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Establecer canal preferencial con notarías de alta productividad para firmas exprés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Dir. Jurídico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15/Oct/2026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Disminución de 2 días en etapa final</w:t>
            </w:r>
          </w:p>
        </w:tc>
      </w:tr>
      <w:tr>
        <w:trPr>
          <w:cantSplit w:val="0"/>
          <w:tblHeader w:val="0"/>
        </w:trPr>
        <w:tc>
          <w:tcPr>
            <w:shd w:fill="f9f9f9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Capacitación y reasignación temporal de 8 analistas al área de valúos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Gerente Operaciones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25/Sep/2026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Desahogo de backlog acumulado en valúos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rPr/>
      </w:pPr>
      <w:r w:rsidDel="00000000" w:rsidR="00000000" w:rsidRPr="00000000">
        <w:rPr>
          <w:rtl w:val="0"/>
        </w:rPr>
        <w:t xml:space="preserve">3. Firma y Conformidad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El presente acuerdo entra en vigor a partir de su firma y será auditado semanalmente en el tablero ejecutivo de operaciones.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333333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1f4e79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