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1f4e79"/>
          <w:sz w:val="32"/>
          <w:szCs w:val="32"/>
          <w:rtl w:val="0"/>
        </w:rPr>
        <w:t xml:space="preserve">Minuta de Reunión: Comité Extralegal de Riesgos y Finanzas (Teams)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Fecha: </w:t>
      </w:r>
      <w:r w:rsidDel="00000000" w:rsidR="00000000" w:rsidRPr="00000000">
        <w:rPr>
          <w:rtl w:val="0"/>
        </w:rPr>
        <w:t xml:space="preserve">10 de Septiembre de 2026 | </w:t>
      </w:r>
      <w:r w:rsidDel="00000000" w:rsidR="00000000" w:rsidRPr="00000000">
        <w:rPr>
          <w:b w:val="1"/>
          <w:bCs w:val="1"/>
          <w:rtl w:val="0"/>
        </w:rPr>
        <w:t xml:space="preserve">Plataforma: </w:t>
      </w:r>
      <w:r w:rsidDel="00000000" w:rsidR="00000000" w:rsidRPr="00000000">
        <w:rPr>
          <w:rtl w:val="0"/>
        </w:rPr>
        <w:t xml:space="preserve">Microsoft Teams | </w:t>
      </w:r>
      <w:r w:rsidDel="00000000" w:rsidR="00000000" w:rsidRPr="00000000">
        <w:rPr>
          <w:b w:val="1"/>
          <w:bCs w:val="1"/>
          <w:rtl w:val="0"/>
        </w:rPr>
        <w:t xml:space="preserve">Duración: </w:t>
      </w:r>
      <w:r w:rsidDel="00000000" w:rsidR="00000000" w:rsidRPr="00000000">
        <w:rPr>
          <w:rtl w:val="0"/>
        </w:rPr>
        <w:t xml:space="preserve">55 minutos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Participantes: </w:t>
      </w:r>
      <w:r w:rsidDel="00000000" w:rsidR="00000000" w:rsidRPr="00000000">
        <w:rPr>
          <w:rtl w:val="0"/>
        </w:rPr>
        <w:t xml:space="preserve">Carlos Mendoza (CFO), Sofia Alarcón (CRO), Roberto Gómez (Dir. Crédito), Elena Torres (Auditora)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b w:val="1"/>
          <w:bCs w:val="1"/>
          <w:rtl w:val="0"/>
        </w:rPr>
        <w:t xml:space="preserve">1. Puntos Principales Discutidos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Evolución del Margen Neto de Interés (NII): </w:t>
      </w:r>
      <w:r w:rsidDel="00000000" w:rsidR="00000000" w:rsidRPr="00000000">
        <w:rPr>
          <w:rtl w:val="0"/>
        </w:rPr>
        <w:t xml:space="preserve">El CFO destacó que el NII subió a $30.2M en Q3 gracias al ajuste de tasas activas en créditos corporativos. Sin embargo, el costo de captación aumentó un 7.1% por competencia de depósitos a plazo.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Deterioro en Cartera PyME Comercial: </w:t>
      </w:r>
      <w:r w:rsidDel="00000000" w:rsidR="00000000" w:rsidRPr="00000000">
        <w:rPr>
          <w:rtl w:val="0"/>
        </w:rPr>
        <w:t xml:space="preserve">La CRO informó sobre el incremento del NPL Ratio a 2.6%. Se identificó que 3 grupos económicos del sector inmobiliario entraron en mora mayor a 60 días.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2. Matriz de Acuerdos y Compromisos Executives</w:t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Acción Compromiso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Fecha Límite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Estado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Reestructurar crédito de 2 grupos inmobiliarios clave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Roberto Gómez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25-Sep-2026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En Proceso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Incrementar reserva de provisión preventiva en $3.5M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Carlos Mendoza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18-Sep-2026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Aprobado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Presentar al Consejo actualización del apetito de riesgo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Sofia Alarcón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30-Sep-2026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Pendiente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