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color w:val="111e38"/>
          <w:sz w:val="32"/>
          <w:szCs w:val="32"/>
          <w:rtl w:val="0"/>
        </w:rPr>
        <w:t xml:space="preserve">Minuta de la Sesión Estratégica del Consejo de Administración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Fecha: </w:t>
      </w:r>
      <w:r w:rsidDel="00000000" w:rsidR="00000000" w:rsidRPr="00000000">
        <w:rPr>
          <w:rtl w:val="0"/>
        </w:rPr>
        <w:t xml:space="preserve">05 de Septiembre de 2026 | </w:t>
      </w:r>
      <w:r w:rsidDel="00000000" w:rsidR="00000000" w:rsidRPr="00000000">
        <w:rPr>
          <w:b w:val="1"/>
          <w:bCs w:val="1"/>
          <w:rtl w:val="0"/>
        </w:rPr>
        <w:t xml:space="preserve">Sesión: </w:t>
      </w:r>
      <w:r w:rsidDel="00000000" w:rsidR="00000000" w:rsidRPr="00000000">
        <w:rPr>
          <w:rtl w:val="0"/>
        </w:rPr>
        <w:t xml:space="preserve">Ordinaria Q3 | </w:t>
      </w:r>
      <w:r w:rsidDel="00000000" w:rsidR="00000000" w:rsidRPr="00000000">
        <w:rPr>
          <w:b w:val="1"/>
          <w:bCs w:val="1"/>
          <w:rtl w:val="0"/>
        </w:rPr>
        <w:t xml:space="preserve">Presidente del Consejo: </w:t>
      </w:r>
      <w:r w:rsidDel="00000000" w:rsidR="00000000" w:rsidRPr="00000000">
        <w:rPr>
          <w:rtl w:val="0"/>
        </w:rPr>
        <w:t xml:space="preserve">Fernando Armenta</w:t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b w:val="1"/>
          <w:bCs w:val="1"/>
          <w:rtl w:val="0"/>
        </w:rPr>
        <w:t xml:space="preserve">1. Acuerdos Estratégicos y Plan a 18 Meses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Aprobación de la Negociación M&amp;A FinTech NextGen: </w:t>
      </w:r>
      <w:r w:rsidDel="00000000" w:rsidR="00000000" w:rsidRPr="00000000">
        <w:rPr>
          <w:rtl w:val="0"/>
        </w:rPr>
        <w:t xml:space="preserve">El Consejo autorizó por unanimidad al CEO y CFO a continuar con la Due Diligence exclusiva fijando un precio máximo de compra de $28.5M USD.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Transformación Digital e Inteligencia Artificial: </w:t>
      </w:r>
      <w:r w:rsidDel="00000000" w:rsidR="00000000" w:rsidRPr="00000000">
        <w:rPr>
          <w:rtl w:val="0"/>
        </w:rPr>
        <w:t xml:space="preserve">Se ratificó la meta de migrar el 60% de la operativa recurrente a canales digitales impulsados por IA y cuadernos de conocimiento cerrado para la alta dirección.</w:t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2. Matriz de Entregables Directivos para el Próximo Trimestre</w:t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111e38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Iniciativa Estratégica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11e38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Líder C-Level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11e38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Entregable Esperado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Dictamen Financiero y Sinergias Finales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CFO (Carlos Mendoza)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Modelo de Flujo Descontado Auditado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Manual de Integración Risk &amp; Compliance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CRO (Sofia Alarcón)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Matriz de Riesgo Operativo M&amp;A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Presentación Final para Accionistas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CEO (Dirección General)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Deck de Aprobación M&amp;A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