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color w:val="004d40"/>
          <w:sz w:val="30"/>
          <w:szCs w:val="30"/>
          <w:rtl w:val="0"/>
        </w:rPr>
        <w:t xml:space="preserve">Marco Institucional de Tolerancia y Gestión de Riesgo Operativo y Cibernético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b w:val="1"/>
          <w:bCs w:val="1"/>
          <w:rtl w:val="0"/>
        </w:rPr>
        <w:t xml:space="preserve">1. Declaración de Apetito al Riesgo Operativo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El Banco establece una tolerancia cero para fallas de ciberseguridad que comprometan datos de clientes. El tiempo máximo de caída no planificada (Downtime) para la Banca Digital se fija en </w:t>
      </w:r>
      <w:r w:rsidDel="00000000" w:rsidR="00000000" w:rsidRPr="00000000">
        <w:rPr>
          <w:b w:val="1"/>
          <w:bCs w:val="1"/>
          <w:rtl w:val="0"/>
        </w:rPr>
        <w:t xml:space="preserve">99.95% de disponibilidad mensual</w:t>
      </w:r>
      <w:r w:rsidDel="00000000" w:rsidR="00000000" w:rsidRPr="00000000">
        <w:rPr>
          <w:rtl w:val="0"/>
        </w:rPr>
        <w:t xml:space="preserve"> (máximo 21.6 minutos de indisponibilidad al mes).</w:t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2. Matriz de Severidad de Incidentes Cibernéticos</w:t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004d40" w:val="clea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Nivel de Incidentes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4d40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Criterio de Impacto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4d40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Tiempo de Respuesta (SLA)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Crítico (Nivel 1)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Ataque Ransomware o indisponibilidad del core bancario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&lt; 15 Minutos (Activación BCP)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Alto (Nivel 2)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Filtro de datos o falla en canales de banca móvil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&lt; 45 Minutos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Medio (Nivel 3)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Falla menor en sistemas administrativos internos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&lt; 4 Horas</w:t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